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E273" w14:textId="77777777" w:rsidR="00990FF9" w:rsidRPr="00612CD4" w:rsidRDefault="00990FF9" w:rsidP="00990FF9">
      <w:pPr>
        <w:jc w:val="center"/>
        <w:rPr>
          <w:rFonts w:ascii="Times New Roman" w:hAnsi="Times New Roman" w:cs="Times New Roman"/>
          <w:b/>
          <w:bCs/>
        </w:rPr>
      </w:pPr>
      <w:r w:rsidRPr="00612CD4">
        <w:rPr>
          <w:rFonts w:ascii="Times New Roman" w:hAnsi="Times New Roman" w:cs="Times New Roman"/>
          <w:b/>
          <w:bCs/>
        </w:rPr>
        <w:t>ASCC Arts and Humanities Subcommittee 2</w:t>
      </w:r>
    </w:p>
    <w:p w14:paraId="33EF0967" w14:textId="321B566A" w:rsidR="00990FF9" w:rsidRPr="00612CD4" w:rsidRDefault="00B8028A" w:rsidP="00990F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Unapproved</w:t>
      </w:r>
      <w:r w:rsidR="00793968">
        <w:rPr>
          <w:rFonts w:ascii="Times New Roman" w:hAnsi="Times New Roman" w:cs="Times New Roman"/>
        </w:rPr>
        <w:t xml:space="preserve"> </w:t>
      </w:r>
      <w:r w:rsidR="00627C37">
        <w:rPr>
          <w:rFonts w:ascii="Times New Roman" w:hAnsi="Times New Roman" w:cs="Times New Roman"/>
        </w:rPr>
        <w:t>Minutes</w:t>
      </w:r>
    </w:p>
    <w:p w14:paraId="74489406" w14:textId="221D7D21" w:rsidR="00990FF9" w:rsidRPr="00612CD4" w:rsidRDefault="00A252F9" w:rsidP="00990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803955">
        <w:rPr>
          <w:rFonts w:ascii="Times New Roman" w:hAnsi="Times New Roman" w:cs="Times New Roman"/>
        </w:rPr>
        <w:t>Feb. 7</w:t>
      </w:r>
      <w:r w:rsidR="00803955" w:rsidRPr="0080395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 w:rsidR="00990FF9" w:rsidRPr="00612CD4">
        <w:rPr>
          <w:rFonts w:ascii="Times New Roman" w:hAnsi="Times New Roman" w:cs="Times New Roman"/>
        </w:rPr>
        <w:tab/>
      </w:r>
      <w:r w:rsidR="006D7C74" w:rsidRPr="00612CD4">
        <w:rPr>
          <w:rFonts w:ascii="Times New Roman" w:hAnsi="Times New Roman" w:cs="Times New Roman"/>
        </w:rPr>
        <w:tab/>
        <w:t xml:space="preserve">       </w:t>
      </w:r>
      <w:r w:rsidR="00990FF9" w:rsidRPr="00612CD4">
        <w:rPr>
          <w:rFonts w:ascii="Times New Roman" w:hAnsi="Times New Roman" w:cs="Times New Roman"/>
        </w:rPr>
        <w:t xml:space="preserve"> </w:t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</w:r>
      <w:r w:rsidR="00F72A32">
        <w:rPr>
          <w:rFonts w:ascii="Times New Roman" w:hAnsi="Times New Roman" w:cs="Times New Roman"/>
        </w:rPr>
        <w:tab/>
        <w:t>Zoom</w:t>
      </w:r>
    </w:p>
    <w:p w14:paraId="4C3ED25A" w14:textId="7489230A" w:rsidR="00990FF9" w:rsidRPr="00612CD4" w:rsidRDefault="00990FF9" w:rsidP="00990FF9">
      <w:pPr>
        <w:rPr>
          <w:rFonts w:ascii="Times New Roman" w:hAnsi="Times New Roman" w:cs="Times New Roman"/>
        </w:rPr>
      </w:pPr>
      <w:r w:rsidRPr="00612CD4">
        <w:rPr>
          <w:rFonts w:ascii="Times New Roman" w:hAnsi="Times New Roman" w:cs="Times New Roman"/>
          <w:b/>
          <w:bCs/>
        </w:rPr>
        <w:t>Attendees</w:t>
      </w:r>
      <w:r w:rsidRPr="00612CD4">
        <w:rPr>
          <w:rFonts w:ascii="Times New Roman" w:hAnsi="Times New Roman" w:cs="Times New Roman"/>
        </w:rPr>
        <w:t xml:space="preserve">: </w:t>
      </w:r>
      <w:r w:rsidR="002776E8" w:rsidRPr="00612CD4">
        <w:rPr>
          <w:rFonts w:ascii="Times New Roman" w:hAnsi="Times New Roman" w:cs="Times New Roman"/>
        </w:rPr>
        <w:t xml:space="preserve"> </w:t>
      </w:r>
      <w:r w:rsidR="0042241F">
        <w:rPr>
          <w:rFonts w:ascii="Times New Roman" w:hAnsi="Times New Roman" w:cs="Times New Roman"/>
        </w:rPr>
        <w:t xml:space="preserve">Bitters, </w:t>
      </w:r>
      <w:r w:rsidR="002776E8" w:rsidRPr="00612CD4">
        <w:rPr>
          <w:rFonts w:ascii="Times New Roman" w:hAnsi="Times New Roman" w:cs="Times New Roman"/>
        </w:rPr>
        <w:t>Crocetta, Diles,</w:t>
      </w:r>
      <w:r w:rsidR="00ED256C" w:rsidRPr="00612CD4">
        <w:rPr>
          <w:rFonts w:ascii="Times New Roman" w:hAnsi="Times New Roman" w:cs="Times New Roman"/>
        </w:rPr>
        <w:t xml:space="preserve"> </w:t>
      </w:r>
      <w:proofErr w:type="spellStart"/>
      <w:r w:rsidR="00803955">
        <w:rPr>
          <w:rFonts w:ascii="Times New Roman" w:hAnsi="Times New Roman" w:cs="Times New Roman"/>
        </w:rPr>
        <w:t>Köhnlein</w:t>
      </w:r>
      <w:proofErr w:type="spellEnd"/>
      <w:r w:rsidR="00CB52F9">
        <w:rPr>
          <w:rFonts w:ascii="Times New Roman" w:hAnsi="Times New Roman" w:cs="Times New Roman"/>
        </w:rPr>
        <w:t>,</w:t>
      </w:r>
      <w:r w:rsidR="00803955">
        <w:rPr>
          <w:rFonts w:ascii="Times New Roman" w:hAnsi="Times New Roman" w:cs="Times New Roman"/>
        </w:rPr>
        <w:t xml:space="preserve"> </w:t>
      </w:r>
      <w:r w:rsidR="0042241F">
        <w:rPr>
          <w:rFonts w:ascii="Times New Roman" w:hAnsi="Times New Roman" w:cs="Times New Roman"/>
        </w:rPr>
        <w:t xml:space="preserve">Mick, </w:t>
      </w:r>
      <w:r w:rsidR="00ED256C" w:rsidRPr="00612CD4">
        <w:rPr>
          <w:rFonts w:ascii="Times New Roman" w:hAnsi="Times New Roman" w:cs="Times New Roman"/>
        </w:rPr>
        <w:t>Podalsky, Steele</w:t>
      </w:r>
      <w:r w:rsidR="00B8028A">
        <w:rPr>
          <w:rFonts w:ascii="Times New Roman" w:hAnsi="Times New Roman" w:cs="Times New Roman"/>
        </w:rPr>
        <w:t>, Vankeerbergen</w:t>
      </w:r>
    </w:p>
    <w:p w14:paraId="21189260" w14:textId="77777777" w:rsidR="00990FF9" w:rsidRPr="00612CD4" w:rsidRDefault="00990FF9" w:rsidP="00990FF9">
      <w:pPr>
        <w:rPr>
          <w:rFonts w:ascii="Times New Roman" w:hAnsi="Times New Roman" w:cs="Times New Roman"/>
          <w:b/>
          <w:bCs/>
        </w:rPr>
      </w:pPr>
      <w:r w:rsidRPr="00612CD4">
        <w:rPr>
          <w:rFonts w:ascii="Times New Roman" w:hAnsi="Times New Roman" w:cs="Times New Roman"/>
          <w:b/>
          <w:bCs/>
        </w:rPr>
        <w:t>Agenda</w:t>
      </w:r>
    </w:p>
    <w:p w14:paraId="0F12D55A" w14:textId="77777777" w:rsidR="00803955" w:rsidRDefault="00803955" w:rsidP="008039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Approval of 1-24-25 minutes</w:t>
      </w:r>
    </w:p>
    <w:p w14:paraId="70D4B37F" w14:textId="64D27F2A" w:rsidR="00CB52F9" w:rsidRDefault="00CB52F9" w:rsidP="00CB52F9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Köhnlein</w:t>
      </w:r>
      <w:proofErr w:type="spellEnd"/>
      <w:r>
        <w:rPr>
          <w:rFonts w:ascii="Times New Roman" w:hAnsi="Times New Roman" w:cs="Times New Roman"/>
        </w:rPr>
        <w:t>, Crocetta; unanimously approved.</w:t>
      </w:r>
    </w:p>
    <w:p w14:paraId="363620EA" w14:textId="77777777" w:rsidR="00B21994" w:rsidRPr="00803955" w:rsidRDefault="00B21994" w:rsidP="00B21994">
      <w:pPr>
        <w:pStyle w:val="ListParagraph"/>
        <w:ind w:left="1440"/>
        <w:rPr>
          <w:rFonts w:ascii="Times New Roman" w:hAnsi="Times New Roman" w:cs="Times New Roman"/>
        </w:rPr>
      </w:pPr>
    </w:p>
    <w:p w14:paraId="608F87CE" w14:textId="77777777" w:rsidR="00803955" w:rsidRDefault="00803955" w:rsidP="008039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Theatre 4500 (new course requesting GEN Theme Lived Environments </w:t>
      </w:r>
      <w:r w:rsidRPr="00803955">
        <w:rPr>
          <w:rFonts w:ascii="Times New Roman" w:hAnsi="Times New Roman" w:cs="Times New Roman"/>
          <w:b/>
          <w:bCs/>
        </w:rPr>
        <w:t>with Research and Creative Inquiry</w:t>
      </w:r>
      <w:r w:rsidRPr="00803955">
        <w:rPr>
          <w:rFonts w:ascii="Times New Roman" w:hAnsi="Times New Roman" w:cs="Times New Roman"/>
        </w:rPr>
        <w:t> </w:t>
      </w:r>
      <w:r w:rsidRPr="00803955">
        <w:rPr>
          <w:rFonts w:ascii="Times New Roman" w:hAnsi="Times New Roman" w:cs="Times New Roman"/>
          <w:b/>
          <w:bCs/>
        </w:rPr>
        <w:t>High-Impact Practice</w:t>
      </w:r>
      <w:r w:rsidRPr="00803955">
        <w:rPr>
          <w:rFonts w:ascii="Times New Roman" w:hAnsi="Times New Roman" w:cs="Times New Roman"/>
        </w:rPr>
        <w:t>) </w:t>
      </w:r>
      <w:bookmarkStart w:id="0" w:name="x__Hlk180048023"/>
      <w:bookmarkEnd w:id="0"/>
      <w:r w:rsidRPr="00803955">
        <w:rPr>
          <w:rFonts w:ascii="Times New Roman" w:hAnsi="Times New Roman" w:cs="Times New Roman"/>
        </w:rPr>
        <w:t>(return)</w:t>
      </w:r>
    </w:p>
    <w:p w14:paraId="0ADD9AF9" w14:textId="1CECEF7D" w:rsidR="0058180E" w:rsidRDefault="007F154E" w:rsidP="00CB52F9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Comment: </w:t>
      </w:r>
      <w:r w:rsidR="00627C37">
        <w:rPr>
          <w:rFonts w:ascii="Times New Roman" w:hAnsi="Times New Roman" w:cs="Times New Roman"/>
        </w:rPr>
        <w:t xml:space="preserve">The Subcommittee thanks the department for their work on this course and </w:t>
      </w:r>
      <w:r w:rsidR="00642304">
        <w:rPr>
          <w:rFonts w:ascii="Times New Roman" w:hAnsi="Times New Roman" w:cs="Times New Roman"/>
        </w:rPr>
        <w:t xml:space="preserve">for </w:t>
      </w:r>
      <w:r w:rsidR="00627C37">
        <w:rPr>
          <w:rFonts w:ascii="Times New Roman" w:hAnsi="Times New Roman" w:cs="Times New Roman"/>
        </w:rPr>
        <w:t>their collaborative engagement with the review process.</w:t>
      </w:r>
    </w:p>
    <w:p w14:paraId="74A7248A" w14:textId="7B57938C" w:rsidR="00CB52F9" w:rsidRDefault="00CB52F9" w:rsidP="00CB52F9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Crocetta, Diles; una</w:t>
      </w:r>
      <w:r w:rsidR="0058180E">
        <w:rPr>
          <w:rFonts w:ascii="Times New Roman" w:hAnsi="Times New Roman" w:cs="Times New Roman"/>
        </w:rPr>
        <w:t>nimously approved</w:t>
      </w:r>
      <w:r w:rsidR="007F154E">
        <w:rPr>
          <w:rFonts w:ascii="Times New Roman" w:hAnsi="Times New Roman" w:cs="Times New Roman"/>
        </w:rPr>
        <w:t xml:space="preserve"> with one comment.</w:t>
      </w:r>
    </w:p>
    <w:p w14:paraId="65C424A9" w14:textId="77777777" w:rsidR="00B21994" w:rsidRDefault="00B21994" w:rsidP="00B21994">
      <w:pPr>
        <w:pStyle w:val="ListParagraph"/>
        <w:ind w:left="1440"/>
        <w:rPr>
          <w:rFonts w:ascii="Times New Roman" w:hAnsi="Times New Roman" w:cs="Times New Roman"/>
        </w:rPr>
      </w:pPr>
    </w:p>
    <w:p w14:paraId="7D59C6D2" w14:textId="77777777" w:rsidR="00803955" w:rsidRDefault="00803955" w:rsidP="008039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Scandinavian 3270 (new course requesting GEN Theme Citizenship for a Diverse and Just World)</w:t>
      </w:r>
    </w:p>
    <w:p w14:paraId="0629BDDF" w14:textId="39F49BD9" w:rsidR="00A90B1D" w:rsidRDefault="00627C37" w:rsidP="0058180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Recommendation: </w:t>
      </w:r>
      <w:r>
        <w:rPr>
          <w:rFonts w:ascii="Times New Roman" w:hAnsi="Times New Roman" w:cs="Times New Roman"/>
        </w:rPr>
        <w:t>The Subcommittee recommends adjusting the “How your grade is calculated” table (syllabus, p. 3), as the point</w:t>
      </w:r>
      <w:r w:rsidR="00642304">
        <w:rPr>
          <w:rFonts w:ascii="Times New Roman" w:hAnsi="Times New Roman" w:cs="Times New Roman"/>
        </w:rPr>
        <w:t xml:space="preserve"> breakdown</w:t>
      </w:r>
      <w:r>
        <w:rPr>
          <w:rFonts w:ascii="Times New Roman" w:hAnsi="Times New Roman" w:cs="Times New Roman"/>
        </w:rPr>
        <w:t xml:space="preserve"> total</w:t>
      </w:r>
      <w:r w:rsidR="0064230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105 rather than </w:t>
      </w:r>
      <w:r w:rsidR="00642304">
        <w:rPr>
          <w:rFonts w:ascii="Times New Roman" w:hAnsi="Times New Roman" w:cs="Times New Roman"/>
        </w:rPr>
        <w:t>the 100 that is stated.</w:t>
      </w:r>
    </w:p>
    <w:p w14:paraId="47BDB608" w14:textId="3BD211D0" w:rsidR="0058180E" w:rsidRDefault="00A90B1D" w:rsidP="0058180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The </w:t>
      </w:r>
      <w:r w:rsidR="00632161">
        <w:rPr>
          <w:rFonts w:ascii="Times New Roman" w:hAnsi="Times New Roman" w:cs="Times New Roman"/>
        </w:rPr>
        <w:t xml:space="preserve">Subcommittee </w:t>
      </w:r>
      <w:r w:rsidR="000D15D0">
        <w:rPr>
          <w:rFonts w:ascii="Times New Roman" w:hAnsi="Times New Roman" w:cs="Times New Roman"/>
        </w:rPr>
        <w:t>suggest</w:t>
      </w:r>
      <w:r w:rsidR="00632161">
        <w:rPr>
          <w:rFonts w:ascii="Times New Roman" w:hAnsi="Times New Roman" w:cs="Times New Roman"/>
        </w:rPr>
        <w:t>s that the department simplify and/or further explain the different types of grading under “Grade Basis” in the “How your grade is calculated table”.  While t</w:t>
      </w:r>
      <w:r w:rsidR="008838F6">
        <w:rPr>
          <w:rFonts w:ascii="Times New Roman" w:hAnsi="Times New Roman" w:cs="Times New Roman"/>
        </w:rPr>
        <w:t>he Subcommittee notes and</w:t>
      </w:r>
      <w:r w:rsidR="00632161">
        <w:rPr>
          <w:rFonts w:ascii="Times New Roman" w:hAnsi="Times New Roman" w:cs="Times New Roman"/>
        </w:rPr>
        <w:t xml:space="preserve"> appreciate</w:t>
      </w:r>
      <w:r w:rsidR="008838F6">
        <w:rPr>
          <w:rFonts w:ascii="Times New Roman" w:hAnsi="Times New Roman" w:cs="Times New Roman"/>
        </w:rPr>
        <w:t>s</w:t>
      </w:r>
      <w:r w:rsidR="00632161">
        <w:rPr>
          <w:rFonts w:ascii="Times New Roman" w:hAnsi="Times New Roman" w:cs="Times New Roman"/>
        </w:rPr>
        <w:t xml:space="preserve"> the explanation below the table of the S/U grade, they are unsure how points will be assigned for the assignments marked “A-E” (e.g., if a student earns a “B” on the Research Paper, will they receive 12.45 points [83%] or 13.035 points [86.9%]</w:t>
      </w:r>
      <w:r w:rsidR="008838F6">
        <w:rPr>
          <w:rFonts w:ascii="Times New Roman" w:hAnsi="Times New Roman" w:cs="Times New Roman"/>
        </w:rPr>
        <w:t>)</w:t>
      </w:r>
      <w:r w:rsidR="00977265">
        <w:rPr>
          <w:rFonts w:ascii="Times New Roman" w:hAnsi="Times New Roman" w:cs="Times New Roman"/>
        </w:rPr>
        <w:t>. In addition, they offer the friendly observation that the complexity of the grading scheme may be confusing for students.</w:t>
      </w:r>
      <w:r w:rsidR="00E47E9A">
        <w:rPr>
          <w:rFonts w:ascii="Times New Roman" w:hAnsi="Times New Roman" w:cs="Times New Roman"/>
        </w:rPr>
        <w:t xml:space="preserve">  </w:t>
      </w:r>
    </w:p>
    <w:p w14:paraId="7CC5E31A" w14:textId="436AC7C4" w:rsidR="000D15D0" w:rsidRDefault="00977265" w:rsidP="000D15D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 The Subcommittee recommends including both the Goals and ELOs of the GEN Themes: Citizenship for a Diverse and Just World </w:t>
      </w:r>
      <w:r w:rsidR="0064230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ategory</w:t>
      </w:r>
      <w:r w:rsidR="00642304">
        <w:rPr>
          <w:rFonts w:ascii="Times New Roman" w:hAnsi="Times New Roman" w:cs="Times New Roman"/>
        </w:rPr>
        <w:t xml:space="preserve"> in the syllabus (p. 2)</w:t>
      </w:r>
      <w:r>
        <w:rPr>
          <w:rFonts w:ascii="Times New Roman" w:hAnsi="Times New Roman" w:cs="Times New Roman"/>
        </w:rPr>
        <w:t xml:space="preserve">.  </w:t>
      </w:r>
      <w:r w:rsidR="000D15D0">
        <w:rPr>
          <w:rFonts w:ascii="Times New Roman" w:hAnsi="Times New Roman" w:cs="Times New Roman"/>
        </w:rPr>
        <w:t>Note:  Since this is a requirement of all GE courses,</w:t>
      </w:r>
      <w:r>
        <w:rPr>
          <w:rFonts w:ascii="Times New Roman" w:hAnsi="Times New Roman" w:cs="Times New Roman"/>
        </w:rPr>
        <w:t xml:space="preserve"> this </w:t>
      </w:r>
      <w:r w:rsidR="000D15D0">
        <w:rPr>
          <w:rFonts w:ascii="Times New Roman" w:hAnsi="Times New Roman" w:cs="Times New Roman"/>
        </w:rPr>
        <w:t xml:space="preserve">will be a </w:t>
      </w:r>
      <w:r w:rsidR="000D15D0">
        <w:rPr>
          <w:rFonts w:ascii="Times New Roman" w:hAnsi="Times New Roman" w:cs="Times New Roman"/>
          <w:b/>
          <w:bCs/>
        </w:rPr>
        <w:t>contingency</w:t>
      </w:r>
      <w:r w:rsidR="000D15D0">
        <w:rPr>
          <w:rFonts w:ascii="Times New Roman" w:hAnsi="Times New Roman" w:cs="Times New Roman"/>
        </w:rPr>
        <w:t xml:space="preserve"> when the course is reviewed by the Themes Subcommittee.</w:t>
      </w:r>
    </w:p>
    <w:p w14:paraId="546B7E12" w14:textId="44AB84D1" w:rsidR="000D15D0" w:rsidRDefault="000D15D0" w:rsidP="000D15D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 The Subcommittee suggests that the department </w:t>
      </w:r>
      <w:r w:rsidR="00F271FB">
        <w:rPr>
          <w:rFonts w:ascii="Times New Roman" w:hAnsi="Times New Roman" w:cs="Times New Roman"/>
        </w:rPr>
        <w:t>more explicitly describe</w:t>
      </w:r>
      <w:r w:rsidR="00642304">
        <w:rPr>
          <w:rFonts w:ascii="Times New Roman" w:hAnsi="Times New Roman" w:cs="Times New Roman"/>
        </w:rPr>
        <w:t xml:space="preserve"> in the course calendar (and the syllabus as a whole)</w:t>
      </w:r>
      <w:r>
        <w:rPr>
          <w:rFonts w:ascii="Times New Roman" w:hAnsi="Times New Roman" w:cs="Times New Roman"/>
        </w:rPr>
        <w:t xml:space="preserve"> the contemporary application</w:t>
      </w:r>
      <w:r w:rsidR="00F271F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ideas brought forth by the reading of Nordic </w:t>
      </w:r>
      <w:r w:rsidR="00F271FB">
        <w:rPr>
          <w:rFonts w:ascii="Times New Roman" w:hAnsi="Times New Roman" w:cs="Times New Roman"/>
        </w:rPr>
        <w:t xml:space="preserve">sagas.  They are excited about this </w:t>
      </w:r>
      <w:r w:rsidR="00642304">
        <w:rPr>
          <w:rFonts w:ascii="Times New Roman" w:hAnsi="Times New Roman" w:cs="Times New Roman"/>
        </w:rPr>
        <w:t>idea but</w:t>
      </w:r>
      <w:r w:rsidR="00F271FB">
        <w:rPr>
          <w:rFonts w:ascii="Times New Roman" w:hAnsi="Times New Roman" w:cs="Times New Roman"/>
        </w:rPr>
        <w:t xml:space="preserve"> want to make sure that there is appropriate </w:t>
      </w:r>
      <w:r w:rsidR="00642304">
        <w:rPr>
          <w:rFonts w:ascii="Times New Roman" w:hAnsi="Times New Roman" w:cs="Times New Roman"/>
        </w:rPr>
        <w:t>“</w:t>
      </w:r>
      <w:r w:rsidR="00F271FB">
        <w:rPr>
          <w:rFonts w:ascii="Times New Roman" w:hAnsi="Times New Roman" w:cs="Times New Roman"/>
        </w:rPr>
        <w:t>signposting</w:t>
      </w:r>
      <w:r w:rsidR="00642304">
        <w:rPr>
          <w:rFonts w:ascii="Times New Roman" w:hAnsi="Times New Roman" w:cs="Times New Roman"/>
        </w:rPr>
        <w:t>”</w:t>
      </w:r>
      <w:r w:rsidR="00F271FB">
        <w:rPr>
          <w:rFonts w:ascii="Times New Roman" w:hAnsi="Times New Roman" w:cs="Times New Roman"/>
        </w:rPr>
        <w:t xml:space="preserve"> for students so that they clearly understand this as a focus of the course.</w:t>
      </w:r>
    </w:p>
    <w:p w14:paraId="516BF1E6" w14:textId="58475950" w:rsidR="00413620" w:rsidRPr="00413620" w:rsidRDefault="00F271FB" w:rsidP="0041362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</w:t>
      </w:r>
      <w:r w:rsidR="00295445">
        <w:rPr>
          <w:rFonts w:ascii="Times New Roman" w:hAnsi="Times New Roman" w:cs="Times New Roman"/>
        </w:rPr>
        <w:t xml:space="preserve">The Subcommittee recommends that the department clarify on the syllabus </w:t>
      </w:r>
      <w:r w:rsidR="002D52A1">
        <w:rPr>
          <w:rFonts w:ascii="Times New Roman" w:hAnsi="Times New Roman" w:cs="Times New Roman"/>
        </w:rPr>
        <w:t xml:space="preserve">when and for how long the course will meet so that the Subcommittee can determine if the course is meeting the contact hour requirement for a </w:t>
      </w:r>
      <w:r w:rsidR="00413620">
        <w:rPr>
          <w:rFonts w:ascii="Times New Roman" w:hAnsi="Times New Roman" w:cs="Times New Roman"/>
        </w:rPr>
        <w:t>3-credit</w:t>
      </w:r>
      <w:r w:rsidR="002D52A1">
        <w:rPr>
          <w:rFonts w:ascii="Times New Roman" w:hAnsi="Times New Roman" w:cs="Times New Roman"/>
        </w:rPr>
        <w:t xml:space="preserve"> hour course</w:t>
      </w:r>
      <w:r w:rsidR="00295445">
        <w:rPr>
          <w:rFonts w:ascii="Times New Roman" w:hAnsi="Times New Roman" w:cs="Times New Roman"/>
        </w:rPr>
        <w:t xml:space="preserve">.  Note:  Since this is </w:t>
      </w:r>
      <w:r w:rsidR="00295445" w:rsidRPr="00413620">
        <w:rPr>
          <w:rFonts w:ascii="Times New Roman" w:hAnsi="Times New Roman" w:cs="Times New Roman"/>
        </w:rPr>
        <w:t xml:space="preserve">a requirement of all </w:t>
      </w:r>
      <w:r w:rsidR="00413620" w:rsidRPr="00413620">
        <w:rPr>
          <w:rFonts w:ascii="Times New Roman" w:hAnsi="Times New Roman" w:cs="Times New Roman"/>
        </w:rPr>
        <w:t xml:space="preserve">ASC </w:t>
      </w:r>
      <w:r w:rsidR="00295445" w:rsidRPr="00413620">
        <w:rPr>
          <w:rFonts w:ascii="Times New Roman" w:hAnsi="Times New Roman" w:cs="Times New Roman"/>
        </w:rPr>
        <w:t xml:space="preserve">courses, this will be a </w:t>
      </w:r>
      <w:r w:rsidR="00295445" w:rsidRPr="00413620">
        <w:rPr>
          <w:rFonts w:ascii="Times New Roman" w:hAnsi="Times New Roman" w:cs="Times New Roman"/>
          <w:b/>
          <w:bCs/>
        </w:rPr>
        <w:t>contingency</w:t>
      </w:r>
      <w:r w:rsidR="00295445" w:rsidRPr="00413620">
        <w:rPr>
          <w:rFonts w:ascii="Times New Roman" w:hAnsi="Times New Roman" w:cs="Times New Roman"/>
        </w:rPr>
        <w:t xml:space="preserve"> when the course is reviewed by the Themes Subcommittee.</w:t>
      </w:r>
    </w:p>
    <w:p w14:paraId="0B9DAE0C" w14:textId="02C45AB8" w:rsidR="00413620" w:rsidRPr="00413620" w:rsidRDefault="00413620" w:rsidP="0041362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413620">
        <w:rPr>
          <w:rFonts w:ascii="Times New Roman" w:hAnsi="Times New Roman" w:cs="Times New Roman"/>
          <w:i/>
          <w:iCs/>
        </w:rPr>
        <w:t>Recommendation:</w:t>
      </w:r>
      <w:r w:rsidRPr="00413620">
        <w:rPr>
          <w:rFonts w:ascii="Times New Roman" w:hAnsi="Times New Roman" w:cs="Times New Roman"/>
        </w:rPr>
        <w:t xml:space="preserve"> The </w:t>
      </w:r>
      <w:r w:rsidRPr="00413620">
        <w:rPr>
          <w:rFonts w:ascii="Times New Roman" w:eastAsia="Times New Roman" w:hAnsi="Times New Roman" w:cs="Times New Roman"/>
        </w:rPr>
        <w:t xml:space="preserve">Subcommittee </w:t>
      </w:r>
      <w:r w:rsidRPr="00413620">
        <w:rPr>
          <w:rFonts w:ascii="Times New Roman" w:hAnsi="Times New Roman" w:cs="Times New Roman"/>
        </w:rPr>
        <w:t xml:space="preserve">recommends that the department use the most recent version of the Mental Health Statement (syllabus, pg. 9), as the name and phone number of the Suicide/Crisis hotline have changed.  The updated statement can be found in an easy-to-copy/paste format on the </w:t>
      </w:r>
      <w:hyperlink r:id="rId5" w:history="1">
        <w:r w:rsidRPr="00413620">
          <w:rPr>
            <w:rStyle w:val="Hyperlink"/>
            <w:rFonts w:ascii="Times New Roman" w:hAnsi="Times New Roman" w:cs="Times New Roman"/>
          </w:rPr>
          <w:t>ASCCAS website.</w:t>
        </w:r>
      </w:hyperlink>
      <w:r w:rsidRPr="00413620">
        <w:rPr>
          <w:rFonts w:ascii="Times New Roman" w:hAnsi="Times New Roman" w:cs="Times New Roman"/>
        </w:rPr>
        <w:t xml:space="preserve"> </w:t>
      </w:r>
    </w:p>
    <w:p w14:paraId="758BB794" w14:textId="0FF111D9" w:rsidR="00500AD9" w:rsidRPr="00413620" w:rsidRDefault="00413620" w:rsidP="0058180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Comment:  The Subcommittee notes that the name of the GEN Theme category is “Citizenship for a Diverse and Just World</w:t>
      </w:r>
      <w:r w:rsidR="00793968">
        <w:rPr>
          <w:rFonts w:ascii="Times New Roman" w:hAnsi="Times New Roman" w:cs="Times New Roman"/>
        </w:rPr>
        <w:t>” and</w:t>
      </w:r>
      <w:r>
        <w:rPr>
          <w:rFonts w:ascii="Times New Roman" w:hAnsi="Times New Roman" w:cs="Times New Roman"/>
        </w:rPr>
        <w:t xml:space="preserve"> offers the friendly suggestion that the syllabus use this nomenclature </w:t>
      </w:r>
      <w:r w:rsidR="00B21994">
        <w:rPr>
          <w:rFonts w:ascii="Times New Roman" w:hAnsi="Times New Roman" w:cs="Times New Roman"/>
        </w:rPr>
        <w:t>throughout for consistency and clarity.</w:t>
      </w:r>
      <w:r w:rsidR="00793968">
        <w:rPr>
          <w:rFonts w:ascii="Times New Roman" w:hAnsi="Times New Roman" w:cs="Times New Roman"/>
        </w:rPr>
        <w:t xml:space="preserve">  The current syllabus refers to “Citizenship for a Just and Diverse World.”</w:t>
      </w:r>
    </w:p>
    <w:p w14:paraId="1D3A0FB0" w14:textId="1B647AE7" w:rsidR="006E08EB" w:rsidRDefault="006E08EB" w:rsidP="00BE005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Diles, </w:t>
      </w:r>
      <w:proofErr w:type="spellStart"/>
      <w:r>
        <w:rPr>
          <w:rFonts w:ascii="Times New Roman" w:hAnsi="Times New Roman" w:cs="Times New Roman"/>
        </w:rPr>
        <w:t>Köhnlein</w:t>
      </w:r>
      <w:proofErr w:type="spellEnd"/>
      <w:r>
        <w:rPr>
          <w:rFonts w:ascii="Times New Roman" w:hAnsi="Times New Roman" w:cs="Times New Roman"/>
        </w:rPr>
        <w:t xml:space="preserve">; unanimously approved with </w:t>
      </w:r>
      <w:r w:rsidR="00B21994">
        <w:rPr>
          <w:rFonts w:ascii="Times New Roman" w:hAnsi="Times New Roman" w:cs="Times New Roman"/>
          <w:i/>
          <w:iCs/>
        </w:rPr>
        <w:t xml:space="preserve">six recommendations </w:t>
      </w:r>
      <w:r w:rsidR="00B21994">
        <w:rPr>
          <w:rFonts w:ascii="Times New Roman" w:hAnsi="Times New Roman" w:cs="Times New Roman"/>
        </w:rPr>
        <w:t>(in italics above) and one comment.</w:t>
      </w:r>
    </w:p>
    <w:p w14:paraId="782D5016" w14:textId="77777777" w:rsidR="00803955" w:rsidRDefault="00803955" w:rsidP="008039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Music 7770 (existing course requesting 100% DL)</w:t>
      </w:r>
    </w:p>
    <w:p w14:paraId="1E5F01A7" w14:textId="3D6043FE" w:rsidR="00793968" w:rsidRDefault="007F154E" w:rsidP="00811A0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793968">
        <w:rPr>
          <w:rFonts w:ascii="Times New Roman" w:hAnsi="Times New Roman" w:cs="Times New Roman"/>
        </w:rPr>
        <w:t xml:space="preserve">Comment:  The Subcommittee appreciates the clear and well-constructed syllabus that was provided by the </w:t>
      </w:r>
      <w:r w:rsidR="00793968">
        <w:rPr>
          <w:rFonts w:ascii="Times New Roman" w:hAnsi="Times New Roman" w:cs="Times New Roman"/>
        </w:rPr>
        <w:t>School of Music.</w:t>
      </w:r>
    </w:p>
    <w:p w14:paraId="3DE47A9B" w14:textId="2C6AF5A8" w:rsidR="007F154E" w:rsidRPr="00793968" w:rsidRDefault="007F154E" w:rsidP="00811A0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793968">
        <w:rPr>
          <w:rFonts w:ascii="Times New Roman" w:hAnsi="Times New Roman" w:cs="Times New Roman"/>
          <w:i/>
          <w:iCs/>
        </w:rPr>
        <w:t xml:space="preserve">Recommendation:  </w:t>
      </w:r>
      <w:r w:rsidRPr="00793968">
        <w:rPr>
          <w:rFonts w:ascii="Times New Roman" w:hAnsi="Times New Roman" w:cs="Times New Roman"/>
        </w:rPr>
        <w:t>The Subcommittee notes that the in-person syllabus (p. 2-3) contains a more detailed description of the final paper assignment, and they recommend that this language be included in the online syllabus as well.</w:t>
      </w:r>
    </w:p>
    <w:p w14:paraId="1A417C20" w14:textId="3513E8DD" w:rsidR="007F154E" w:rsidRDefault="007F154E" w:rsidP="006E08E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The Subcommittee recommends that the statement on pg. 14 of the syllabus be titled “Religious Accommodations” rather than “Religious Holidays”</w:t>
      </w:r>
      <w:r w:rsidR="00307E58">
        <w:rPr>
          <w:rFonts w:ascii="Times New Roman" w:hAnsi="Times New Roman" w:cs="Times New Roman"/>
        </w:rPr>
        <w:t xml:space="preserve">, per University </w:t>
      </w:r>
      <w:r w:rsidR="00642304">
        <w:rPr>
          <w:rFonts w:ascii="Times New Roman" w:hAnsi="Times New Roman" w:cs="Times New Roman"/>
        </w:rPr>
        <w:t>r</w:t>
      </w:r>
      <w:r w:rsidR="00307E58">
        <w:rPr>
          <w:rFonts w:ascii="Times New Roman" w:hAnsi="Times New Roman" w:cs="Times New Roman"/>
        </w:rPr>
        <w:t>equirements.</w:t>
      </w:r>
    </w:p>
    <w:p w14:paraId="7739E834" w14:textId="7515F536" w:rsidR="009A7750" w:rsidRPr="009A7750" w:rsidRDefault="009A7750" w:rsidP="009A775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Köhnlein</w:t>
      </w:r>
      <w:proofErr w:type="spellEnd"/>
      <w:r>
        <w:rPr>
          <w:rFonts w:ascii="Times New Roman" w:hAnsi="Times New Roman" w:cs="Times New Roman"/>
        </w:rPr>
        <w:t xml:space="preserve">, Crocetta; approved with </w:t>
      </w:r>
      <w:r w:rsidR="00307E58">
        <w:rPr>
          <w:rFonts w:ascii="Times New Roman" w:hAnsi="Times New Roman" w:cs="Times New Roman"/>
          <w:i/>
          <w:iCs/>
        </w:rPr>
        <w:t>two recommendations</w:t>
      </w:r>
      <w:r w:rsidR="00307E58">
        <w:rPr>
          <w:rFonts w:ascii="Times New Roman" w:hAnsi="Times New Roman" w:cs="Times New Roman"/>
        </w:rPr>
        <w:t xml:space="preserve"> (in italics above) and one comment.</w:t>
      </w:r>
    </w:p>
    <w:p w14:paraId="3EA35F59" w14:textId="77777777" w:rsidR="00203DCB" w:rsidRDefault="00803955" w:rsidP="00203DC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803955">
        <w:rPr>
          <w:rFonts w:ascii="Times New Roman" w:hAnsi="Times New Roman" w:cs="Times New Roman"/>
        </w:rPr>
        <w:t>First-Year Seminar Johnson - Leadership and Power: Lessons from Kafka (new)</w:t>
      </w:r>
    </w:p>
    <w:p w14:paraId="4954AE98" w14:textId="76882387" w:rsidR="00203DCB" w:rsidRDefault="00203DCB" w:rsidP="00203DC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203DCB">
        <w:rPr>
          <w:rFonts w:ascii="Times New Roman" w:hAnsi="Times New Roman" w:cs="Times New Roman"/>
          <w:b/>
          <w:bCs/>
        </w:rPr>
        <w:t xml:space="preserve">Contingency: </w:t>
      </w:r>
      <w:r w:rsidRPr="00203DCB">
        <w:rPr>
          <w:rFonts w:ascii="Times New Roman" w:hAnsi="Times New Roman" w:cs="Times New Roman"/>
        </w:rPr>
        <w:t xml:space="preserve">The Arts and Sciences Curriculum Committee recently (03-01-2024) updated the list of required syllabus statements for all syllabi to include a new statement on religious accommodations.  The new version is a result of a directive by the Executive Vice President and Provost and can be found here on the </w:t>
      </w:r>
      <w:hyperlink r:id="rId6" w:history="1">
        <w:r w:rsidRPr="00203DCB">
          <w:rPr>
            <w:rStyle w:val="Hyperlink"/>
            <w:rFonts w:ascii="Times New Roman" w:hAnsi="Times New Roman" w:cs="Times New Roman"/>
          </w:rPr>
          <w:t>ASC Curriculum and Assessment Services website.</w:t>
        </w:r>
      </w:hyperlink>
      <w:r w:rsidRPr="00203DCB">
        <w:rPr>
          <w:rFonts w:ascii="Times New Roman" w:hAnsi="Times New Roman" w:cs="Times New Roman"/>
        </w:rPr>
        <w:t xml:space="preserve"> The </w:t>
      </w:r>
      <w:r w:rsidRPr="00203DCB">
        <w:rPr>
          <w:rFonts w:ascii="Times New Roman" w:eastAsia="Times New Roman" w:hAnsi="Times New Roman" w:cs="Times New Roman"/>
        </w:rPr>
        <w:t xml:space="preserve">Subcommittee </w:t>
      </w:r>
      <w:r w:rsidRPr="00203DCB">
        <w:rPr>
          <w:rFonts w:ascii="Times New Roman" w:hAnsi="Times New Roman" w:cs="Times New Roman"/>
        </w:rPr>
        <w:t>thanks you for adding this statement to your course syllabus.  Please note that the link at the bottom of the statement (“Policy: Religious Holidays, Holy Days, and Observances”) must be included with the statement</w:t>
      </w:r>
      <w:r>
        <w:rPr>
          <w:rFonts w:ascii="Times New Roman" w:hAnsi="Times New Roman" w:cs="Times New Roman"/>
        </w:rPr>
        <w:t>.</w:t>
      </w:r>
    </w:p>
    <w:p w14:paraId="2FB46557" w14:textId="20717553" w:rsidR="002F0FCC" w:rsidRDefault="00203DCB" w:rsidP="002F0FC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The Subcommittee recommends that the department clarify for students </w:t>
      </w:r>
      <w:r w:rsidR="00E36F25">
        <w:rPr>
          <w:rFonts w:ascii="Times New Roman" w:hAnsi="Times New Roman" w:cs="Times New Roman"/>
        </w:rPr>
        <w:t xml:space="preserve">in the Course Description (syllabus, p. 1) whether the readings for the course will include shorts stories, novels, </w:t>
      </w:r>
      <w:r w:rsidR="00642304">
        <w:rPr>
          <w:rFonts w:ascii="Times New Roman" w:hAnsi="Times New Roman" w:cs="Times New Roman"/>
        </w:rPr>
        <w:t xml:space="preserve">and/or </w:t>
      </w:r>
      <w:r w:rsidR="00E36F25">
        <w:rPr>
          <w:rFonts w:ascii="Times New Roman" w:hAnsi="Times New Roman" w:cs="Times New Roman"/>
        </w:rPr>
        <w:t xml:space="preserve">excerpts from </w:t>
      </w:r>
      <w:r w:rsidR="00642304">
        <w:rPr>
          <w:rFonts w:ascii="Times New Roman" w:hAnsi="Times New Roman" w:cs="Times New Roman"/>
        </w:rPr>
        <w:t>Kafka’s writings</w:t>
      </w:r>
      <w:r w:rsidR="002F0FCC">
        <w:rPr>
          <w:rFonts w:ascii="Times New Roman" w:hAnsi="Times New Roman" w:cs="Times New Roman"/>
        </w:rPr>
        <w:t xml:space="preserve"> or </w:t>
      </w:r>
      <w:r w:rsidR="00642304">
        <w:rPr>
          <w:rFonts w:ascii="Times New Roman" w:hAnsi="Times New Roman" w:cs="Times New Roman"/>
        </w:rPr>
        <w:t xml:space="preserve">whether the readings will </w:t>
      </w:r>
      <w:r w:rsidR="002F0FCC">
        <w:rPr>
          <w:rFonts w:ascii="Times New Roman" w:hAnsi="Times New Roman" w:cs="Times New Roman"/>
        </w:rPr>
        <w:t>be confined to the course textbook</w:t>
      </w:r>
      <w:r w:rsidR="00642304">
        <w:rPr>
          <w:rFonts w:ascii="Times New Roman" w:hAnsi="Times New Roman" w:cs="Times New Roman"/>
        </w:rPr>
        <w:t>, which seems to be a commentary on the writings of Kafka.</w:t>
      </w:r>
    </w:p>
    <w:p w14:paraId="1C343C44" w14:textId="04F730F2" w:rsidR="00DB4871" w:rsidRPr="002F0FCC" w:rsidRDefault="002F0FCC" w:rsidP="002F0FC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Recommendation:</w:t>
      </w:r>
      <w:r>
        <w:rPr>
          <w:rFonts w:ascii="Times New Roman" w:hAnsi="Times New Roman" w:cs="Times New Roman"/>
        </w:rPr>
        <w:t xml:space="preserve">  The Subcommittee recommends that the department include in the Weekly Schedule (syllabus, p. 3-4) information about assignment due dates</w:t>
      </w:r>
      <w:r w:rsidR="00642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specific reading assignments for each week.</w:t>
      </w:r>
    </w:p>
    <w:p w14:paraId="2352230A" w14:textId="131390BD" w:rsidR="00DB4871" w:rsidRPr="00803955" w:rsidRDefault="00DB4871" w:rsidP="00774404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color w:val="7030A0"/>
        </w:rPr>
      </w:pPr>
      <w:proofErr w:type="spellStart"/>
      <w:r>
        <w:rPr>
          <w:rFonts w:ascii="Times New Roman" w:hAnsi="Times New Roman" w:cs="Times New Roman"/>
        </w:rPr>
        <w:t>Köhnlein</w:t>
      </w:r>
      <w:proofErr w:type="spellEnd"/>
      <w:r>
        <w:rPr>
          <w:rFonts w:ascii="Times New Roman" w:hAnsi="Times New Roman" w:cs="Times New Roman"/>
        </w:rPr>
        <w:t xml:space="preserve">, Diles; unanimously approved with </w:t>
      </w:r>
      <w:r w:rsidR="002F0FCC">
        <w:rPr>
          <w:rFonts w:ascii="Times New Roman" w:hAnsi="Times New Roman" w:cs="Times New Roman"/>
          <w:b/>
          <w:bCs/>
        </w:rPr>
        <w:t>one contingency</w:t>
      </w:r>
      <w:r w:rsidR="002F0FCC">
        <w:rPr>
          <w:rFonts w:ascii="Times New Roman" w:hAnsi="Times New Roman" w:cs="Times New Roman"/>
        </w:rPr>
        <w:t xml:space="preserve"> (in bold above) and </w:t>
      </w:r>
      <w:r w:rsidR="002F0FCC">
        <w:rPr>
          <w:rFonts w:ascii="Times New Roman" w:hAnsi="Times New Roman" w:cs="Times New Roman"/>
          <w:i/>
          <w:iCs/>
        </w:rPr>
        <w:t>two recommendations</w:t>
      </w:r>
      <w:r w:rsidR="002F0FCC">
        <w:rPr>
          <w:rFonts w:ascii="Times New Roman" w:hAnsi="Times New Roman" w:cs="Times New Roman"/>
        </w:rPr>
        <w:t xml:space="preserve"> (in italics above).</w:t>
      </w:r>
    </w:p>
    <w:p w14:paraId="55220A15" w14:textId="23831EE9" w:rsidR="002A6A5E" w:rsidRPr="002A6A5E" w:rsidRDefault="002A6A5E" w:rsidP="002A6A5E">
      <w:pPr>
        <w:pStyle w:val="ListParagraph"/>
        <w:rPr>
          <w:rFonts w:ascii="Times New Roman" w:hAnsi="Times New Roman" w:cs="Times New Roman"/>
        </w:rPr>
      </w:pPr>
    </w:p>
    <w:p w14:paraId="0A749264" w14:textId="420C5673" w:rsidR="007B753B" w:rsidRPr="003959A0" w:rsidRDefault="007B753B" w:rsidP="0001123E">
      <w:pPr>
        <w:pStyle w:val="ListParagraph"/>
        <w:rPr>
          <w:rFonts w:ascii="Times New Roman" w:hAnsi="Times New Roman" w:cs="Times New Roman"/>
        </w:rPr>
      </w:pPr>
    </w:p>
    <w:sectPr w:rsidR="007B753B" w:rsidRPr="00395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282"/>
    <w:multiLevelType w:val="multilevel"/>
    <w:tmpl w:val="260AC86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554DB"/>
    <w:multiLevelType w:val="multilevel"/>
    <w:tmpl w:val="45380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B1E84"/>
    <w:multiLevelType w:val="hybridMultilevel"/>
    <w:tmpl w:val="0502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17A7"/>
    <w:multiLevelType w:val="multilevel"/>
    <w:tmpl w:val="339E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2029"/>
    <w:multiLevelType w:val="hybridMultilevel"/>
    <w:tmpl w:val="FE4A2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191D"/>
    <w:multiLevelType w:val="multilevel"/>
    <w:tmpl w:val="58BA4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F6B02"/>
    <w:multiLevelType w:val="multilevel"/>
    <w:tmpl w:val="010A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20B59"/>
    <w:multiLevelType w:val="multilevel"/>
    <w:tmpl w:val="EB2212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3A75"/>
    <w:multiLevelType w:val="multilevel"/>
    <w:tmpl w:val="98F6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04FA6"/>
    <w:multiLevelType w:val="multilevel"/>
    <w:tmpl w:val="BC128DA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16E9A"/>
    <w:multiLevelType w:val="hybridMultilevel"/>
    <w:tmpl w:val="B300732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D9381A"/>
    <w:multiLevelType w:val="multilevel"/>
    <w:tmpl w:val="1484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D6E"/>
    <w:multiLevelType w:val="multilevel"/>
    <w:tmpl w:val="87460C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A0C9B"/>
    <w:multiLevelType w:val="multilevel"/>
    <w:tmpl w:val="B276C7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D7AFC"/>
    <w:multiLevelType w:val="multilevel"/>
    <w:tmpl w:val="BB9496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35ED6"/>
    <w:multiLevelType w:val="multilevel"/>
    <w:tmpl w:val="E85828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F40F1"/>
    <w:multiLevelType w:val="multilevel"/>
    <w:tmpl w:val="5732AA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42207E"/>
    <w:multiLevelType w:val="multilevel"/>
    <w:tmpl w:val="79A4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47359"/>
    <w:multiLevelType w:val="multilevel"/>
    <w:tmpl w:val="F942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D353EE"/>
    <w:multiLevelType w:val="multilevel"/>
    <w:tmpl w:val="2118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B51A7"/>
    <w:multiLevelType w:val="hybridMultilevel"/>
    <w:tmpl w:val="2548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948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41D40BF"/>
    <w:multiLevelType w:val="multilevel"/>
    <w:tmpl w:val="623025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284627">
    <w:abstractNumId w:val="2"/>
  </w:num>
  <w:num w:numId="2" w16cid:durableId="1910264687">
    <w:abstractNumId w:val="4"/>
  </w:num>
  <w:num w:numId="3" w16cid:durableId="1986733478">
    <w:abstractNumId w:val="20"/>
  </w:num>
  <w:num w:numId="4" w16cid:durableId="1304386523">
    <w:abstractNumId w:val="17"/>
  </w:num>
  <w:num w:numId="5" w16cid:durableId="2092005373">
    <w:abstractNumId w:val="19"/>
  </w:num>
  <w:num w:numId="6" w16cid:durableId="1980332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76208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84058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550163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5773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0690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665758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8355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620542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5731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053370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524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541198">
    <w:abstractNumId w:val="18"/>
  </w:num>
  <w:num w:numId="19" w16cid:durableId="104037850">
    <w:abstractNumId w:val="8"/>
  </w:num>
  <w:num w:numId="20" w16cid:durableId="1406613380">
    <w:abstractNumId w:val="21"/>
  </w:num>
  <w:num w:numId="21" w16cid:durableId="1008483765">
    <w:abstractNumId w:val="3"/>
  </w:num>
  <w:num w:numId="22" w16cid:durableId="603003167">
    <w:abstractNumId w:val="6"/>
  </w:num>
  <w:num w:numId="23" w16cid:durableId="2145462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F9"/>
    <w:rsid w:val="0001123E"/>
    <w:rsid w:val="0002364E"/>
    <w:rsid w:val="000300A5"/>
    <w:rsid w:val="00044346"/>
    <w:rsid w:val="00054286"/>
    <w:rsid w:val="0006206D"/>
    <w:rsid w:val="00075834"/>
    <w:rsid w:val="000825BB"/>
    <w:rsid w:val="000955B8"/>
    <w:rsid w:val="000A0DC3"/>
    <w:rsid w:val="000A3251"/>
    <w:rsid w:val="000C7B63"/>
    <w:rsid w:val="000D15D0"/>
    <w:rsid w:val="00114B9A"/>
    <w:rsid w:val="0011589A"/>
    <w:rsid w:val="00131E0C"/>
    <w:rsid w:val="0014542C"/>
    <w:rsid w:val="0015568C"/>
    <w:rsid w:val="001666D4"/>
    <w:rsid w:val="00185490"/>
    <w:rsid w:val="00187F94"/>
    <w:rsid w:val="001901CE"/>
    <w:rsid w:val="0019038D"/>
    <w:rsid w:val="001B2BD8"/>
    <w:rsid w:val="001E02BB"/>
    <w:rsid w:val="001E37C5"/>
    <w:rsid w:val="001E65DF"/>
    <w:rsid w:val="001E7D06"/>
    <w:rsid w:val="001F2079"/>
    <w:rsid w:val="001F71B8"/>
    <w:rsid w:val="00203DCB"/>
    <w:rsid w:val="00207A21"/>
    <w:rsid w:val="002139AB"/>
    <w:rsid w:val="00213FB8"/>
    <w:rsid w:val="00215429"/>
    <w:rsid w:val="00217581"/>
    <w:rsid w:val="00222995"/>
    <w:rsid w:val="00231A9D"/>
    <w:rsid w:val="00232099"/>
    <w:rsid w:val="00236CC8"/>
    <w:rsid w:val="00237B49"/>
    <w:rsid w:val="00252556"/>
    <w:rsid w:val="00253091"/>
    <w:rsid w:val="002548C6"/>
    <w:rsid w:val="00265F4E"/>
    <w:rsid w:val="00266F95"/>
    <w:rsid w:val="002715ED"/>
    <w:rsid w:val="002763E4"/>
    <w:rsid w:val="002776E8"/>
    <w:rsid w:val="00295445"/>
    <w:rsid w:val="002A62C3"/>
    <w:rsid w:val="002A6A5E"/>
    <w:rsid w:val="002A7BEB"/>
    <w:rsid w:val="002B3AA4"/>
    <w:rsid w:val="002C2C6B"/>
    <w:rsid w:val="002C5DBE"/>
    <w:rsid w:val="002D1179"/>
    <w:rsid w:val="002D52A1"/>
    <w:rsid w:val="002E6060"/>
    <w:rsid w:val="002F0FCC"/>
    <w:rsid w:val="00307E58"/>
    <w:rsid w:val="0032178D"/>
    <w:rsid w:val="00321C20"/>
    <w:rsid w:val="00324D28"/>
    <w:rsid w:val="003251DB"/>
    <w:rsid w:val="00355B75"/>
    <w:rsid w:val="003571DD"/>
    <w:rsid w:val="00365EF8"/>
    <w:rsid w:val="00371E1A"/>
    <w:rsid w:val="00386EF0"/>
    <w:rsid w:val="003924E5"/>
    <w:rsid w:val="003959A0"/>
    <w:rsid w:val="00395C0C"/>
    <w:rsid w:val="003969D7"/>
    <w:rsid w:val="003B3857"/>
    <w:rsid w:val="003B4ABA"/>
    <w:rsid w:val="003C0392"/>
    <w:rsid w:val="003C4CE9"/>
    <w:rsid w:val="003D1B48"/>
    <w:rsid w:val="003E3B20"/>
    <w:rsid w:val="003E3C3B"/>
    <w:rsid w:val="003E4D57"/>
    <w:rsid w:val="003F293F"/>
    <w:rsid w:val="0040196F"/>
    <w:rsid w:val="00402669"/>
    <w:rsid w:val="00411B7E"/>
    <w:rsid w:val="004128BD"/>
    <w:rsid w:val="00413620"/>
    <w:rsid w:val="00413D90"/>
    <w:rsid w:val="004203CC"/>
    <w:rsid w:val="00420488"/>
    <w:rsid w:val="0042241F"/>
    <w:rsid w:val="004316A3"/>
    <w:rsid w:val="00465C8D"/>
    <w:rsid w:val="00484CD5"/>
    <w:rsid w:val="00493142"/>
    <w:rsid w:val="004976C9"/>
    <w:rsid w:val="004A1511"/>
    <w:rsid w:val="004A5258"/>
    <w:rsid w:val="004A66B2"/>
    <w:rsid w:val="004C503F"/>
    <w:rsid w:val="004E7194"/>
    <w:rsid w:val="004F7AB1"/>
    <w:rsid w:val="00500AD9"/>
    <w:rsid w:val="00504CCF"/>
    <w:rsid w:val="005052F0"/>
    <w:rsid w:val="00514B9F"/>
    <w:rsid w:val="0052209F"/>
    <w:rsid w:val="00540D1F"/>
    <w:rsid w:val="00553BE1"/>
    <w:rsid w:val="00556A3F"/>
    <w:rsid w:val="00564D0A"/>
    <w:rsid w:val="00565234"/>
    <w:rsid w:val="00566506"/>
    <w:rsid w:val="0058180E"/>
    <w:rsid w:val="005A45A3"/>
    <w:rsid w:val="005A6126"/>
    <w:rsid w:val="005B4810"/>
    <w:rsid w:val="005B6FAD"/>
    <w:rsid w:val="005C6D56"/>
    <w:rsid w:val="005D0DDB"/>
    <w:rsid w:val="005E4500"/>
    <w:rsid w:val="005E6F57"/>
    <w:rsid w:val="005F3573"/>
    <w:rsid w:val="00604D0E"/>
    <w:rsid w:val="00612CD4"/>
    <w:rsid w:val="00615DFB"/>
    <w:rsid w:val="00627C37"/>
    <w:rsid w:val="00632161"/>
    <w:rsid w:val="00642304"/>
    <w:rsid w:val="0065231B"/>
    <w:rsid w:val="006646E3"/>
    <w:rsid w:val="006649E8"/>
    <w:rsid w:val="0066639F"/>
    <w:rsid w:val="00672F90"/>
    <w:rsid w:val="006752C1"/>
    <w:rsid w:val="00692801"/>
    <w:rsid w:val="006A22D1"/>
    <w:rsid w:val="006D4D0E"/>
    <w:rsid w:val="006D7C74"/>
    <w:rsid w:val="006E08EB"/>
    <w:rsid w:val="006E1530"/>
    <w:rsid w:val="00705EF5"/>
    <w:rsid w:val="007062D5"/>
    <w:rsid w:val="007317D2"/>
    <w:rsid w:val="007556C1"/>
    <w:rsid w:val="007620D6"/>
    <w:rsid w:val="00774404"/>
    <w:rsid w:val="0077651C"/>
    <w:rsid w:val="00777258"/>
    <w:rsid w:val="00783324"/>
    <w:rsid w:val="007838DF"/>
    <w:rsid w:val="00793968"/>
    <w:rsid w:val="007B753B"/>
    <w:rsid w:val="007C644C"/>
    <w:rsid w:val="007D6764"/>
    <w:rsid w:val="007E5474"/>
    <w:rsid w:val="007F154E"/>
    <w:rsid w:val="007F2116"/>
    <w:rsid w:val="008019FB"/>
    <w:rsid w:val="00803955"/>
    <w:rsid w:val="00805291"/>
    <w:rsid w:val="00815A19"/>
    <w:rsid w:val="008162EC"/>
    <w:rsid w:val="00851380"/>
    <w:rsid w:val="0087371D"/>
    <w:rsid w:val="008838F6"/>
    <w:rsid w:val="0088429A"/>
    <w:rsid w:val="008848F0"/>
    <w:rsid w:val="008A708A"/>
    <w:rsid w:val="008B0133"/>
    <w:rsid w:val="008B45AE"/>
    <w:rsid w:val="008C3C42"/>
    <w:rsid w:val="008C603E"/>
    <w:rsid w:val="008F3363"/>
    <w:rsid w:val="008F6B96"/>
    <w:rsid w:val="00907CBD"/>
    <w:rsid w:val="0091796C"/>
    <w:rsid w:val="0092407A"/>
    <w:rsid w:val="00932E08"/>
    <w:rsid w:val="00946998"/>
    <w:rsid w:val="00954DD9"/>
    <w:rsid w:val="00964080"/>
    <w:rsid w:val="009757E2"/>
    <w:rsid w:val="00976571"/>
    <w:rsid w:val="00977265"/>
    <w:rsid w:val="00990FF9"/>
    <w:rsid w:val="009966B0"/>
    <w:rsid w:val="00996B6F"/>
    <w:rsid w:val="009A7750"/>
    <w:rsid w:val="009B617E"/>
    <w:rsid w:val="009C0B12"/>
    <w:rsid w:val="009C346B"/>
    <w:rsid w:val="009D301E"/>
    <w:rsid w:val="009D4540"/>
    <w:rsid w:val="009D4F9C"/>
    <w:rsid w:val="00A252F9"/>
    <w:rsid w:val="00A314A6"/>
    <w:rsid w:val="00A33E31"/>
    <w:rsid w:val="00A34FD5"/>
    <w:rsid w:val="00A36CC0"/>
    <w:rsid w:val="00A41996"/>
    <w:rsid w:val="00A56D84"/>
    <w:rsid w:val="00A63D6D"/>
    <w:rsid w:val="00A651D3"/>
    <w:rsid w:val="00A81096"/>
    <w:rsid w:val="00A90B1D"/>
    <w:rsid w:val="00AA2859"/>
    <w:rsid w:val="00AB5C35"/>
    <w:rsid w:val="00AC41C1"/>
    <w:rsid w:val="00AD05B0"/>
    <w:rsid w:val="00AD4D38"/>
    <w:rsid w:val="00B005AA"/>
    <w:rsid w:val="00B00F5B"/>
    <w:rsid w:val="00B04CA4"/>
    <w:rsid w:val="00B120A0"/>
    <w:rsid w:val="00B21994"/>
    <w:rsid w:val="00B30B2A"/>
    <w:rsid w:val="00B502AC"/>
    <w:rsid w:val="00B56117"/>
    <w:rsid w:val="00B612F5"/>
    <w:rsid w:val="00B8028A"/>
    <w:rsid w:val="00B84A3D"/>
    <w:rsid w:val="00B8540E"/>
    <w:rsid w:val="00BC4230"/>
    <w:rsid w:val="00BE005D"/>
    <w:rsid w:val="00BE2F06"/>
    <w:rsid w:val="00C03F28"/>
    <w:rsid w:val="00C17EB3"/>
    <w:rsid w:val="00C30148"/>
    <w:rsid w:val="00C37A82"/>
    <w:rsid w:val="00C43174"/>
    <w:rsid w:val="00C51B56"/>
    <w:rsid w:val="00C71383"/>
    <w:rsid w:val="00C74545"/>
    <w:rsid w:val="00C85002"/>
    <w:rsid w:val="00C90608"/>
    <w:rsid w:val="00CA1EDA"/>
    <w:rsid w:val="00CB2E0A"/>
    <w:rsid w:val="00CB52F9"/>
    <w:rsid w:val="00CC2215"/>
    <w:rsid w:val="00CE131B"/>
    <w:rsid w:val="00CE59C3"/>
    <w:rsid w:val="00CF5406"/>
    <w:rsid w:val="00D06016"/>
    <w:rsid w:val="00D1234B"/>
    <w:rsid w:val="00D15597"/>
    <w:rsid w:val="00D17877"/>
    <w:rsid w:val="00D25354"/>
    <w:rsid w:val="00D5690F"/>
    <w:rsid w:val="00D66796"/>
    <w:rsid w:val="00D80C8B"/>
    <w:rsid w:val="00D82C07"/>
    <w:rsid w:val="00D86785"/>
    <w:rsid w:val="00D86C47"/>
    <w:rsid w:val="00DA0ABF"/>
    <w:rsid w:val="00DA22C4"/>
    <w:rsid w:val="00DB0943"/>
    <w:rsid w:val="00DB4871"/>
    <w:rsid w:val="00DE1ACD"/>
    <w:rsid w:val="00E208CE"/>
    <w:rsid w:val="00E2156A"/>
    <w:rsid w:val="00E225C0"/>
    <w:rsid w:val="00E34309"/>
    <w:rsid w:val="00E36F25"/>
    <w:rsid w:val="00E47E9A"/>
    <w:rsid w:val="00E656AC"/>
    <w:rsid w:val="00E969AC"/>
    <w:rsid w:val="00ED158A"/>
    <w:rsid w:val="00ED18BE"/>
    <w:rsid w:val="00ED256C"/>
    <w:rsid w:val="00ED3053"/>
    <w:rsid w:val="00ED721B"/>
    <w:rsid w:val="00F16F94"/>
    <w:rsid w:val="00F1754B"/>
    <w:rsid w:val="00F24BC8"/>
    <w:rsid w:val="00F271FB"/>
    <w:rsid w:val="00F51308"/>
    <w:rsid w:val="00F53EB2"/>
    <w:rsid w:val="00F557B8"/>
    <w:rsid w:val="00F72A32"/>
    <w:rsid w:val="00F774C2"/>
    <w:rsid w:val="00F82CD7"/>
    <w:rsid w:val="00F84B76"/>
    <w:rsid w:val="00F90546"/>
    <w:rsid w:val="00F9427A"/>
    <w:rsid w:val="00FB3C28"/>
    <w:rsid w:val="00FB7D2B"/>
    <w:rsid w:val="00FC71C7"/>
    <w:rsid w:val="00FD30A4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A258"/>
  <w15:chartTrackingRefBased/>
  <w15:docId w15:val="{40D565E1-1D2E-4811-802C-6E5EC44A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F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2E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2EC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90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1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D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18BE"/>
  </w:style>
  <w:style w:type="character" w:customStyle="1" w:styleId="eop">
    <w:name w:val="eop"/>
    <w:basedOn w:val="DefaultParagraphFont"/>
    <w:rsid w:val="00ED18BE"/>
  </w:style>
  <w:style w:type="paragraph" w:customStyle="1" w:styleId="xxxmsonormal">
    <w:name w:val="x_x_xmsonormal"/>
    <w:basedOn w:val="Normal"/>
    <w:rsid w:val="001E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8915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423769">
          <w:marLeft w:val="120"/>
          <w:marRight w:val="12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as.osu.edu/submission/development/submission-materials/syllabus-elements" TargetMode="External"/><Relationship Id="rId5" Type="http://schemas.openxmlformats.org/officeDocument/2006/relationships/hyperlink" Target="https://asccas.osu.edu/submission/development/submission-materials/syllabus-ele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Neff, Jennifer</dc:creator>
  <cp:keywords/>
  <dc:description/>
  <cp:lastModifiedBy>Steele, Rachel</cp:lastModifiedBy>
  <cp:revision>6</cp:revision>
  <cp:lastPrinted>2025-02-11T19:17:00Z</cp:lastPrinted>
  <dcterms:created xsi:type="dcterms:W3CDTF">2025-02-17T18:09:00Z</dcterms:created>
  <dcterms:modified xsi:type="dcterms:W3CDTF">2025-02-17T18:19:00Z</dcterms:modified>
</cp:coreProperties>
</file>